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北京市职业技能提升行动课程资源方</w:t>
      </w:r>
      <w:r>
        <w:rPr>
          <w:rFonts w:hint="eastAsia" w:ascii="方正小标宋简体" w:hAnsi="方正小标宋简体" w:eastAsia="方正小标宋简体" w:cs="方正小标宋简体"/>
          <w:sz w:val="44"/>
          <w:szCs w:val="44"/>
          <w:lang w:val="en-US" w:eastAsia="zh-CN"/>
        </w:rPr>
        <w:br w:type="textWrapping"/>
      </w:r>
      <w:r>
        <w:rPr>
          <w:rFonts w:hint="eastAsia" w:ascii="方正小标宋简体" w:hAnsi="方正小标宋简体" w:eastAsia="方正小标宋简体" w:cs="方正小标宋简体"/>
          <w:sz w:val="44"/>
          <w:szCs w:val="44"/>
          <w:lang w:val="en-US" w:eastAsia="zh-CN"/>
        </w:rPr>
        <w:t>整改通知书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【课程资源方主体名称】：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经核实，你单位存在《课程资源方问题反馈处理表》中所列情形，请按期以书面形式向我处反馈整改情况。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北京市人力资源和社会保障局职业能力建设处</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课程资源方问题反馈处理表</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填表日期：2021年   月   日</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139"/>
        <w:gridCol w:w="1307"/>
        <w:gridCol w:w="1400"/>
        <w:gridCol w:w="2724"/>
        <w:gridCol w:w="17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课程资源方主体名称</w:t>
            </w:r>
          </w:p>
        </w:tc>
        <w:tc>
          <w:tcPr>
            <w:tcW w:w="583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课程资源方平台名称</w:t>
            </w:r>
          </w:p>
        </w:tc>
        <w:tc>
          <w:tcPr>
            <w:tcW w:w="583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联系人</w:t>
            </w:r>
          </w:p>
        </w:tc>
        <w:tc>
          <w:tcPr>
            <w:tcW w:w="270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联系电话</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问题课程清单</w:t>
            </w: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课程名称</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问题分类</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备注说明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☐A类  ☐B类  ☐C类</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☐A类  ☐B类  ☐C类</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☐A类  ☐B类  ☐C类</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☐A类  ☐B类  ☐C类</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☐A类  ☐B类  ☐C类</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☐A类  ☐B类  ☐C类</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问题分类</w:t>
            </w: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问题说明</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处理方式</w:t>
            </w:r>
            <w:r>
              <w:rPr>
                <w:rFonts w:hint="eastAsia" w:ascii="黑体" w:hAnsi="黑体" w:eastAsia="黑体" w:cs="黑体"/>
                <w:sz w:val="21"/>
                <w:szCs w:val="21"/>
                <w:vertAlign w:val="baseline"/>
                <w:lang w:val="en-US" w:eastAsia="zh-CN"/>
              </w:rPr>
              <w:br w:type="textWrapping"/>
            </w:r>
            <w:r>
              <w:rPr>
                <w:rFonts w:hint="eastAsia" w:ascii="黑体" w:hAnsi="黑体" w:eastAsia="黑体" w:cs="黑体"/>
                <w:sz w:val="21"/>
                <w:szCs w:val="21"/>
                <w:vertAlign w:val="baseline"/>
                <w:lang w:val="en-US" w:eastAsia="zh-CN"/>
              </w:rPr>
              <w:t>（以下处理方式仅供参考）</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备注说明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66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A类：课程质量</w:t>
            </w: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☐课程介绍、课程目录、课程学习资源及课程考试题库等课程构成要素不完整不规范</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整改（完善内容，3天）</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☐课程内容逻辑不严密，存在将一门课拆分成多门课、多门课程内容重复或素材交叉使用情况</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永久下架</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☐课程资源中含有违反国家法律法规或明显的广告宣传等内容，存在政治性、思想性、科学性和规范性等问题</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永久下架</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☐课程资源声音和画面不符合规范要求，影响学习效果</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整改（优化内容，5天）</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☐其他经课程评审专家组认定的情形</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B类：题库质量</w:t>
            </w: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☐存在考题考点与课程学习内容无关的情况</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整改（优化题库，5天）</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☐考题考点在不同题型重复</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整改（优化题库，5天）</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☐考题题型未达到两种（含）以上，或者各类题型题量配比不合理，某类题型题量占比不到20%</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整改（优化题库，5天）</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☐考题题量未达到最低要求，即10题（课时数≤2）、20题（2＜课时数≤5）及40题（课时数＞5）要求</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整改（优化题库，5天）</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☐考题难度偏低，首次考试通过率超过80%（含）</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整改（更新题库，15天）</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☐其他经课程评审专家组认定的情形</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C类：课程版权</w:t>
            </w: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☐课程资源方认定主体和版权主体不一致且未提供不一致的有效证明</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整改（补充材料，5天）</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☐不同课程资源方提交相同课程资源且均声明对版权具有合法权益</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永久下架</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☐课程视频中体现的主体与版权证明材料不一致</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整改（补充材料，10天）</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☐其他经课程评审专家组认定的情形</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D类：服务质量</w:t>
            </w: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☐被专家驳回的课程未经修改继续上传或被永久驳回的课程重新包装继续上传</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永久下架</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☐存在泄露题库内容的情形</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永久下架</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☐存在利用代理机构推销点播课程，或通过折扣、返佣等形式组织或参与不正当竞争的行为</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整改（终止行为，3天）</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再次出现，永久下架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☐未组建专业队伍提供日常咨询服务</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整改（组建队伍，10天）</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☐对参培单位反馈的服务需求处置不及时或不得当</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整改（改善服务，10天）</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☐其他经市、区人力资源社会保障部门认定或参培单位、群众反映的问题</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其他情形</w:t>
            </w: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3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2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2E7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2021-08-27T09:54:22Z</dcterms:created>
  <dc:creator>user117</dc:creator>
  <cp:lastModifiedBy>user117</cp:lastModifiedBy>
  <dcterms:modified xsi:type="dcterms:W3CDTF">2021-08-27T09:55:00Z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8D251A74C1E74AFF952DAB303A0BAB3C</vt:lpwstr>
  </property>
</Properties>
</file>